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</w:p>
    <w:p>
      <w:pPr>
        <w:pStyle w:val="655"/>
        <w:jc w:val="center"/>
        <w:rPr>
          <w:b/>
          <w:sz w:val="36"/>
          <w:szCs w:val="36"/>
          <w:lang w:val="en-US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  <w:lang w:val="en-US"/>
        </w:rPr>
      </w:r>
      <w:r>
        <w:rPr>
          <w:b/>
          <w:sz w:val="36"/>
          <w:szCs w:val="36"/>
          <w:lang w:val="en-US"/>
        </w:rPr>
      </w:r>
    </w:p>
    <w:p>
      <w:pPr>
        <w:pStyle w:val="655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</w:p>
    <w:p>
      <w:pPr>
        <w:pStyle w:val="655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</w:p>
    <w:p>
      <w:pPr>
        <w:pStyle w:val="655"/>
        <w:jc w:val="center"/>
        <w:rPr>
          <w:sz w:val="40"/>
          <w:szCs w:val="40"/>
        </w:rPr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655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  <w:lang w:val="en-US"/>
        </w:rPr>
        <w:t xml:space="preserve">07</w:t>
      </w:r>
      <w:r>
        <w:rPr>
          <w:sz w:val="28"/>
          <w:szCs w:val="28"/>
          <w:u w:val="single"/>
        </w:rPr>
        <w:t xml:space="preserve">” </w:t>
      </w:r>
      <w:r>
        <w:rPr>
          <w:sz w:val="28"/>
          <w:szCs w:val="28"/>
          <w:u w:val="single"/>
        </w:rPr>
        <w:t xml:space="preserve">июл</w:t>
      </w:r>
      <w:r>
        <w:rPr>
          <w:sz w:val="28"/>
          <w:szCs w:val="28"/>
          <w:u w:val="single"/>
        </w:rPr>
        <w:t xml:space="preserve">я 2026г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 xml:space="preserve">  №   </w:t>
      </w:r>
      <w:r>
        <w:rPr>
          <w:sz w:val="28"/>
          <w:szCs w:val="28"/>
          <w:u w:val="single"/>
        </w:rPr>
        <w:t xml:space="preserve">7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</w:rPr>
        <w:t xml:space="preserve">33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</w:p>
    <w:p>
      <w:pPr>
        <w:pStyle w:val="655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</w:p>
    <w:p>
      <w:pPr>
        <w:pStyle w:val="646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</w:r>
      <w:r>
        <w:rPr>
          <w:b/>
          <w:sz w:val="32"/>
          <w:szCs w:val="28"/>
        </w:rPr>
      </w:r>
    </w:p>
    <w:p>
      <w:pPr>
        <w:pStyle w:val="646"/>
        <w:ind w:firstLine="54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</w:p>
    <w:p>
      <w:pPr>
        <w:pStyle w:val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б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обеспечени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контроля за соблюдением правил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предвыборной агитации на</w:t>
      </w:r>
      <w:r>
        <w:rPr>
          <w:b/>
          <w:sz w:val="28"/>
          <w:szCs w:val="28"/>
        </w:rPr>
        <w:t xml:space="preserve"> дополнительных </w:t>
      </w:r>
      <w:r>
        <w:rPr>
          <w:b/>
          <w:sz w:val="28"/>
          <w:szCs w:val="28"/>
        </w:rPr>
        <w:t xml:space="preserve"> выборах </w:t>
      </w:r>
      <w:r>
        <w:rPr>
          <w:b/>
          <w:sz w:val="28"/>
          <w:szCs w:val="28"/>
        </w:rPr>
        <w:t xml:space="preserve">депутатов Совета депутатов муниципального округа Воротынский Нижегородской области второго созыва по одномандатным избирательным округам №9 и №12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6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назначенных на 20 сентября 2026 года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44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Нижегородской области от 06 сентября 2007 № 108-З «О выборах депутатов представител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ных органов муниципальных образований в Нижегородской области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территориальная избирательная комиссия муниципального округа Воротынский Нижегородской области</w:t>
      </w:r>
      <w:r>
        <w:rPr>
          <w:sz w:val="28"/>
          <w:szCs w:val="28"/>
        </w:rPr>
        <w:t xml:space="preserve"> ПОСТАНОВЛЯЕТ:</w:t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numPr>
          <w:ilvl w:val="0"/>
          <w:numId w:val="7"/>
        </w:numPr>
        <w:ind w:left="1134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заместителя председателя территориальной избирательной комиссии муниципального округа Воротынский Нижегородской области</w:t>
      </w:r>
      <w:r>
        <w:rPr>
          <w:sz w:val="28"/>
          <w:szCs w:val="28"/>
        </w:rPr>
        <w:t xml:space="preserve"> Петухова Дмитрия Владимировича -</w:t>
      </w:r>
      <w:r>
        <w:rPr>
          <w:sz w:val="28"/>
          <w:szCs w:val="28"/>
        </w:rPr>
        <w:t xml:space="preserve"> ответственным за 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рганизаци</w:t>
      </w:r>
      <w:r>
        <w:rPr>
          <w:bCs/>
          <w:sz w:val="28"/>
          <w:szCs w:val="28"/>
        </w:rPr>
        <w:t xml:space="preserve">ю</w:t>
      </w:r>
      <w:r>
        <w:rPr>
          <w:bCs/>
          <w:sz w:val="28"/>
          <w:szCs w:val="28"/>
        </w:rPr>
        <w:t xml:space="preserve"> работы по контролю за соблюдением участниками избирательного процесса правил проведения предвыборной агитации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дополнительных  выборах депутатов  Совета депутатов муниципального округа Воротынский Нижегородской области по одномандатным избирательным округам №9 и №12 назначенных на 20</w:t>
      </w:r>
      <w:r>
        <w:rPr>
          <w:sz w:val="28"/>
          <w:szCs w:val="28"/>
        </w:rPr>
        <w:t xml:space="preserve"> сентября 2026 года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numPr>
          <w:ilvl w:val="0"/>
          <w:numId w:val="7"/>
        </w:numPr>
        <w:ind w:left="1134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Петухову Дмитрию Владимировичу организовать работу рабочей группы </w:t>
      </w:r>
      <w:r>
        <w:rPr>
          <w:color w:val="000000"/>
          <w:sz w:val="28"/>
          <w:szCs w:val="28"/>
        </w:rPr>
        <w:t xml:space="preserve">по контролю за соблюдением участниками избирательного процесса правил проведения предвыборной агитации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дополнительных  выборах депутатов  Совета депутатов муниципального округа Воротынский Нижегородской области по одномандатным избирательным округам №9 и №12 назначенных на 20</w:t>
      </w:r>
      <w:r>
        <w:rPr>
          <w:sz w:val="28"/>
          <w:szCs w:val="28"/>
        </w:rPr>
        <w:t xml:space="preserve"> сентября 2026 года</w:t>
      </w:r>
      <w:r>
        <w:rPr>
          <w:sz w:val="28"/>
          <w:szCs w:val="28"/>
        </w:rPr>
        <w:t xml:space="preserve">.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numPr>
          <w:ilvl w:val="0"/>
          <w:numId w:val="7"/>
        </w:numPr>
        <w:ind w:left="1134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обязанности </w:t>
      </w:r>
      <w:r>
        <w:rPr>
          <w:sz w:val="28"/>
          <w:szCs w:val="28"/>
        </w:rPr>
        <w:t xml:space="preserve">рабочей группы </w:t>
      </w:r>
      <w:r>
        <w:rPr>
          <w:color w:val="000000"/>
          <w:sz w:val="28"/>
          <w:szCs w:val="28"/>
        </w:rPr>
        <w:t xml:space="preserve">по контролю за соблюдением участниками избирательного процесса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входит обеспечение контроля за соблюдением участниками избирательного процесса правил проведения предвыборной агитации, в том числе</w:t>
      </w:r>
      <w:r>
        <w:rPr>
          <w:b/>
          <w:bCs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color w:val="000000"/>
          <w:szCs w:val="28"/>
        </w:rPr>
        <w:t xml:space="preserve"> </w:t>
      </w:r>
      <w:r>
        <w:rPr>
          <w:b w:val="0"/>
          <w:bCs/>
          <w:szCs w:val="28"/>
        </w:rPr>
        <w:t xml:space="preserve">анализ законности размещения агитационных материалов в средствах массовой информации;</w:t>
      </w:r>
      <w:r>
        <w:rPr>
          <w:b w:val="0"/>
          <w:bCs/>
          <w:szCs w:val="28"/>
        </w:rPr>
      </w:r>
      <w:r>
        <w:rPr>
          <w:b w:val="0"/>
          <w:bCs/>
          <w:szCs w:val="28"/>
          <w:highlight w:val="none"/>
        </w:rPr>
      </w:r>
      <w:r>
        <w:rPr>
          <w:b w:val="0"/>
          <w:bCs/>
          <w:szCs w:val="28"/>
          <w:highlight w:val="none"/>
        </w:rPr>
      </w:r>
      <w:r>
        <w:rPr>
          <w:b w:val="0"/>
          <w:bCs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ежедневный сбор информации о формах и методах проведения предвыборной агитации на соответствующей территории;</w:t>
      </w:r>
      <w:r>
        <w:rPr>
          <w:b w:val="0"/>
          <w:bCs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организация проведения и (или) участие в жеребьевке по распределению  бесплатных печатных площадей </w:t>
      </w:r>
      <w:r>
        <w:rPr>
          <w:b w:val="0"/>
          <w:bCs/>
          <w:szCs w:val="28"/>
        </w:rPr>
        <w:t xml:space="preserve">муниципаль</w:t>
      </w:r>
      <w:r>
        <w:rPr>
          <w:b w:val="0"/>
          <w:bCs/>
          <w:szCs w:val="28"/>
        </w:rPr>
        <w:t xml:space="preserve">ных периодических печатных изданиях, зарегистрированных для распространения на территории</w:t>
      </w:r>
      <w:r>
        <w:rPr>
          <w:b w:val="0"/>
          <w:bCs/>
          <w:szCs w:val="28"/>
        </w:rPr>
        <w:t xml:space="preserve">  муниципального округа Воротынский Нижегородской области</w:t>
      </w:r>
      <w:r>
        <w:rPr>
          <w:b w:val="0"/>
          <w:bCs/>
          <w:szCs w:val="28"/>
        </w:rPr>
        <w:t xml:space="preserve">;</w:t>
      </w:r>
      <w:r>
        <w:rPr>
          <w:b w:val="0"/>
          <w:bCs/>
          <w:szCs w:val="28"/>
        </w:rPr>
      </w:r>
      <w:r>
        <w:rPr>
          <w:b w:val="0"/>
          <w:bCs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определение помещений на подведомственных  территориях и находящихся в муниципальной собственн</w:t>
      </w:r>
      <w:r>
        <w:rPr>
          <w:b w:val="0"/>
          <w:bCs/>
          <w:szCs w:val="28"/>
        </w:rPr>
        <w:t xml:space="preserve">о</w:t>
      </w:r>
      <w:r>
        <w:rPr>
          <w:b w:val="0"/>
          <w:bCs/>
          <w:szCs w:val="28"/>
        </w:rPr>
        <w:t xml:space="preserve">сти и пригодных для проведения на безвозмездной основе агитацион</w:t>
      </w:r>
      <w:r>
        <w:rPr>
          <w:b w:val="0"/>
          <w:bCs/>
          <w:szCs w:val="28"/>
        </w:rPr>
        <w:t xml:space="preserve">ных публичных мероприятий в форме собраний с избирателями зарегистрированных кандидатов, их доверенных лиц, представителей избирательных объединений совместно с администраци</w:t>
      </w:r>
      <w:r>
        <w:rPr>
          <w:b w:val="0"/>
          <w:bCs/>
          <w:szCs w:val="28"/>
        </w:rPr>
        <w:t xml:space="preserve">ей</w:t>
      </w:r>
      <w:r>
        <w:rPr>
          <w:b w:val="0"/>
          <w:bCs/>
          <w:szCs w:val="28"/>
        </w:rPr>
        <w:t xml:space="preserve"> муниципальн</w:t>
      </w:r>
      <w:r>
        <w:rPr>
          <w:b w:val="0"/>
          <w:bCs/>
          <w:szCs w:val="28"/>
        </w:rPr>
        <w:t xml:space="preserve">ого</w:t>
      </w:r>
      <w:r>
        <w:rPr>
          <w:b w:val="0"/>
          <w:bCs/>
          <w:szCs w:val="28"/>
        </w:rPr>
        <w:t xml:space="preserve"> округа</w:t>
      </w:r>
      <w:r>
        <w:rPr>
          <w:b w:val="0"/>
          <w:bCs/>
          <w:szCs w:val="28"/>
        </w:rPr>
        <w:t xml:space="preserve"> Воротынский Нижегородской области</w:t>
      </w:r>
      <w:r>
        <w:rPr>
          <w:b w:val="0"/>
          <w:bCs/>
          <w:szCs w:val="28"/>
        </w:rPr>
        <w:t xml:space="preserve">;</w:t>
      </w:r>
      <w:r>
        <w:rPr>
          <w:b w:val="0"/>
          <w:bCs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осуществление контроля за обеспечением равных условий проведения агитационных публичных мероприятий зарегис</w:t>
      </w:r>
      <w:r>
        <w:rPr>
          <w:b w:val="0"/>
          <w:bCs/>
          <w:szCs w:val="28"/>
        </w:rPr>
        <w:t xml:space="preserve">трированных кандидатов, их доверенных лиц, представителей избирательных объединений с избирателями в помещениях, находящихся в муниципальной собственности, предоставляемых безвозмездно на время, установленное территориальной избирательной комиссией муниципального округа Воротынский Нижегородской области; </w:t>
      </w:r>
      <w:r>
        <w:rPr>
          <w:b w:val="0"/>
          <w:bCs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подготовка пре</w:t>
      </w:r>
      <w:r>
        <w:rPr>
          <w:b w:val="0"/>
          <w:bCs/>
          <w:szCs w:val="28"/>
        </w:rPr>
        <w:t xml:space="preserve">дложения органам местного самоуправления по списку специальных мест, обязательных для выделения и оборудования на территории каждого избирательного участка, для размещения предвыборных печатных агитационных материалов всех кандидатов, политических партий, избирательных объединений; </w:t>
      </w:r>
      <w:r>
        <w:rPr>
          <w:b w:val="0"/>
          <w:bCs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участие в рассмотрении жалоб, заявлений и обращений по вопросам законности проведения агитации на территории</w:t>
      </w:r>
      <w:r>
        <w:rPr>
          <w:b w:val="0"/>
          <w:bCs/>
          <w:szCs w:val="28"/>
        </w:rPr>
        <w:t xml:space="preserve"> муниципальн</w:t>
      </w:r>
      <w:r>
        <w:rPr>
          <w:b w:val="0"/>
          <w:bCs/>
          <w:szCs w:val="28"/>
        </w:rPr>
        <w:t xml:space="preserve">ого</w:t>
      </w:r>
      <w:r>
        <w:rPr>
          <w:b w:val="0"/>
          <w:bCs/>
          <w:szCs w:val="28"/>
        </w:rPr>
        <w:t xml:space="preserve"> округа</w:t>
      </w:r>
      <w:r>
        <w:rPr>
          <w:b w:val="0"/>
          <w:bCs/>
          <w:szCs w:val="28"/>
        </w:rPr>
        <w:t xml:space="preserve"> Воротынский Нижегородской области</w:t>
      </w:r>
      <w:r>
        <w:rPr>
          <w:b w:val="0"/>
          <w:bCs/>
          <w:szCs w:val="28"/>
        </w:rPr>
        <w:t xml:space="preserve">;</w:t>
      </w:r>
      <w:r>
        <w:rPr>
          <w:b w:val="0"/>
          <w:bCs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уведомление избирательной комиссии Нижегородской области о выявленных нарушениях правил п</w:t>
      </w:r>
      <w:r>
        <w:rPr>
          <w:b w:val="0"/>
          <w:bCs/>
          <w:szCs w:val="28"/>
        </w:rPr>
        <w:t xml:space="preserve">роведения </w:t>
      </w:r>
      <w:r>
        <w:rPr>
          <w:b w:val="0"/>
          <w:bCs/>
          <w:szCs w:val="28"/>
        </w:rPr>
        <w:t xml:space="preserve">предвыборной </w:t>
      </w:r>
      <w:r>
        <w:rPr>
          <w:b w:val="0"/>
          <w:bCs/>
          <w:szCs w:val="28"/>
        </w:rPr>
        <w:t xml:space="preserve">агитации, передача в избирательную комиссию Нижегородской области материалов по нарушениям правил </w:t>
      </w:r>
      <w:r>
        <w:rPr>
          <w:b w:val="0"/>
          <w:bCs/>
          <w:szCs w:val="28"/>
        </w:rPr>
        <w:t xml:space="preserve">ее проведения </w:t>
      </w:r>
      <w:r>
        <w:rPr>
          <w:b w:val="0"/>
          <w:bCs/>
          <w:szCs w:val="28"/>
        </w:rPr>
        <w:t xml:space="preserve">на территории</w:t>
      </w:r>
      <w:r>
        <w:rPr>
          <w:b w:val="0"/>
          <w:bCs/>
          <w:szCs w:val="28"/>
        </w:rPr>
        <w:t xml:space="preserve"> муниципальн</w:t>
      </w:r>
      <w:r>
        <w:rPr>
          <w:b w:val="0"/>
          <w:bCs/>
          <w:szCs w:val="28"/>
        </w:rPr>
        <w:t xml:space="preserve">ого</w:t>
      </w:r>
      <w:r>
        <w:rPr>
          <w:b w:val="0"/>
          <w:bCs/>
          <w:szCs w:val="28"/>
        </w:rPr>
        <w:t xml:space="preserve"> округа</w:t>
      </w:r>
      <w:r>
        <w:rPr>
          <w:b w:val="0"/>
          <w:bCs/>
          <w:szCs w:val="28"/>
        </w:rPr>
        <w:t xml:space="preserve"> Воротынский Нижегородской области</w:t>
      </w:r>
      <w:r>
        <w:rPr>
          <w:b w:val="0"/>
          <w:bCs/>
          <w:szCs w:val="28"/>
        </w:rPr>
        <w:t xml:space="preserve">, в том числе копий протоколов об административных правонарушениях, копий протоколов об административных правонарушениях, составленных  территориальн</w:t>
      </w:r>
      <w:r>
        <w:rPr>
          <w:b w:val="0"/>
          <w:bCs/>
          <w:szCs w:val="28"/>
        </w:rPr>
        <w:t xml:space="preserve">ой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избирательн</w:t>
      </w:r>
      <w:r>
        <w:rPr>
          <w:b w:val="0"/>
          <w:bCs/>
          <w:szCs w:val="28"/>
        </w:rPr>
        <w:t xml:space="preserve">ой</w:t>
      </w:r>
      <w:r>
        <w:rPr>
          <w:b w:val="0"/>
          <w:bCs/>
          <w:szCs w:val="28"/>
        </w:rPr>
        <w:t xml:space="preserve"> комисси</w:t>
      </w:r>
      <w:r>
        <w:rPr>
          <w:b w:val="0"/>
          <w:bCs/>
          <w:szCs w:val="28"/>
        </w:rPr>
        <w:t xml:space="preserve">ей, копий обращений в соответствующие подразделения ГУ МВД России</w:t>
      </w:r>
      <w:r>
        <w:rPr>
          <w:b w:val="0"/>
          <w:bCs/>
          <w:szCs w:val="28"/>
        </w:rPr>
        <w:t xml:space="preserve">;</w:t>
      </w:r>
      <w:r>
        <w:rPr>
          <w:b w:val="0"/>
          <w:bCs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уведомление избирательной комиссии Нижегородской области о фактах распространения в информационно-телекоммуникационных сетях, в том числ</w:t>
      </w:r>
      <w:r>
        <w:rPr>
          <w:b w:val="0"/>
          <w:bCs/>
          <w:szCs w:val="28"/>
        </w:rPr>
        <w:t xml:space="preserve">е в сети «Интернет», информации, распространяемой с нарушением законодательства Российской Федерации о выборах, и (или) агитационных материалов, изготовленных и (или) распространяемых с нарушением требований законодательства Российской Федерации о выборах;</w:t>
      </w:r>
      <w:r>
        <w:rPr>
          <w:b w:val="0"/>
          <w:bCs/>
          <w:szCs w:val="28"/>
        </w:rPr>
      </w:r>
    </w:p>
    <w:p>
      <w:pPr>
        <w:pStyle w:val="665"/>
        <w:numPr>
          <w:ilvl w:val="0"/>
          <w:numId w:val="9"/>
        </w:numPr>
        <w:ind w:left="567" w:right="0" w:firstLine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участие в проводимых контрольно-ревизионной службой при избирательной комиссии Нижегородской области проверках и т.д.</w:t>
      </w:r>
      <w:r>
        <w:rPr>
          <w:b w:val="0"/>
          <w:bCs/>
          <w:szCs w:val="28"/>
        </w:rPr>
      </w:r>
    </w:p>
    <w:p>
      <w:pPr>
        <w:pStyle w:val="665"/>
        <w:ind w:left="851" w:right="0" w:firstLine="0"/>
        <w:jc w:val="both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665"/>
        <w:ind w:left="851" w:right="0" w:firstLine="0"/>
        <w:jc w:val="both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665"/>
        <w:ind w:left="851" w:right="0" w:firstLine="0"/>
        <w:jc w:val="both"/>
        <w:rPr>
          <w:b w:val="0"/>
          <w:bCs w:val="0"/>
          <w:highlight w:val="none"/>
        </w:rPr>
      </w:pPr>
      <w:r>
        <w:rPr>
          <w:b w:val="0"/>
          <w:bCs/>
          <w:szCs w:val="28"/>
          <w:highlight w:val="none"/>
        </w:rPr>
        <w:t xml:space="preserve">Председатель                                                                           Г.Н. Исатченко</w:t>
      </w:r>
      <w:r>
        <w:rPr>
          <w:b w:val="0"/>
          <w:bCs/>
          <w:szCs w:val="28"/>
          <w:highlight w:val="none"/>
        </w:rPr>
      </w:r>
    </w:p>
    <w:p>
      <w:pPr>
        <w:pStyle w:val="665"/>
        <w:ind w:left="851" w:right="0" w:firstLine="0"/>
        <w:jc w:val="both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665"/>
        <w:ind w:left="851" w:right="0" w:firstLine="0"/>
        <w:jc w:val="both"/>
        <w:rPr>
          <w:b w:val="0"/>
          <w:bCs w:val="0"/>
        </w:rPr>
      </w:pPr>
      <w:r>
        <w:rPr>
          <w:b w:val="0"/>
          <w:bCs/>
          <w:szCs w:val="28"/>
          <w:highlight w:val="none"/>
        </w:rPr>
        <w:t xml:space="preserve">Секретарь                                                                                 Т.А. Герасимова</w:t>
      </w:r>
      <w:r>
        <w:rPr>
          <w:b w:val="0"/>
          <w:bCs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b w:val="0"/>
          <w:bCs w:val="0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b w:val="0"/>
          <w:bCs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b w:val="0"/>
          <w:bCs w:val="0"/>
        </w:rPr>
      </w:r>
    </w:p>
    <w:p>
      <w:pPr>
        <w:pStyle w:val="64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709" w:right="850" w:bottom="568" w:left="665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Batang">
    <w:panose1 w:val="02000506000000020000"/>
  </w:font>
  <w:font w:name="Arial">
    <w:panose1 w:val="020B0604020202020204"/>
  </w:font>
  <w:font w:name="Courier New">
    <w:panose1 w:val="02070409020205020404"/>
  </w:font>
  <w:font w:name="Verdana">
    <w:panose1 w:val="020B0606030504020204"/>
  </w:font>
  <w:font w:name="Times New Roman">
    <w:panose1 w:val="02020603050405020304"/>
  </w:font>
  <w:font w:name="Cambria">
    <w:panose1 w:val="0204050305040603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i/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</w:t>
    </w:r>
    <w:r>
      <w:rPr>
        <w:i/>
        <w:sz w:val="28"/>
        <w:szCs w:val="28"/>
      </w:rPr>
    </w:r>
    <w:r>
      <w:rPr>
        <w:i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85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4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810"/>
        <w:tabs>
          <w:tab w:val="num" w:pos="135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670" w:hanging="960"/>
        <w:tabs>
          <w:tab w:val="num" w:pos="167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500" w:hanging="960"/>
        <w:tabs>
          <w:tab w:val="num" w:pos="150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00" w:hanging="960"/>
        <w:tabs>
          <w:tab w:val="num" w:pos="15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3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65" w:hanging="180"/>
      </w:p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46"/>
    <w:next w:val="646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46"/>
    <w:next w:val="646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46"/>
    <w:next w:val="646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46"/>
    <w:next w:val="646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46"/>
    <w:next w:val="646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46"/>
    <w:next w:val="646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46"/>
    <w:next w:val="646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46"/>
    <w:next w:val="646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46"/>
    <w:next w:val="646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46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46"/>
    <w:next w:val="646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46"/>
    <w:next w:val="646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46"/>
    <w:next w:val="646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46"/>
    <w:next w:val="646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46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4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46"/>
    <w:next w:val="646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46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46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46"/>
    <w:next w:val="646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46"/>
    <w:next w:val="646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46"/>
    <w:next w:val="646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46"/>
    <w:next w:val="646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46"/>
    <w:next w:val="646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46"/>
    <w:next w:val="646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46"/>
    <w:next w:val="646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46"/>
    <w:next w:val="646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46"/>
    <w:next w:val="646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46"/>
    <w:next w:val="646"/>
    <w:uiPriority w:val="99"/>
    <w:unhideWhenUsed/>
    <w:pPr>
      <w:spacing w:after="0" w:afterAutospacing="0"/>
    </w:pPr>
  </w:style>
  <w:style w:type="paragraph" w:styleId="646" w:default="1">
    <w:name w:val="Normal"/>
    <w:next w:val="646"/>
    <w:link w:val="646"/>
    <w:qFormat/>
    <w:rPr>
      <w:sz w:val="24"/>
      <w:szCs w:val="24"/>
      <w:lang w:val="ru-RU" w:eastAsia="ru-RU" w:bidi="ar-SA"/>
    </w:rPr>
  </w:style>
  <w:style w:type="paragraph" w:styleId="647">
    <w:name w:val="Заголовок 2"/>
    <w:basedOn w:val="646"/>
    <w:next w:val="646"/>
    <w:link w:val="657"/>
    <w:qFormat/>
    <w:pPr>
      <w:jc w:val="center"/>
      <w:keepNext/>
      <w:spacing w:line="360" w:lineRule="auto"/>
      <w:outlineLvl w:val="1"/>
    </w:pPr>
    <w:rPr>
      <w:b/>
      <w:sz w:val="28"/>
      <w:szCs w:val="28"/>
    </w:rPr>
  </w:style>
  <w:style w:type="paragraph" w:styleId="648">
    <w:name w:val="Заголовок 3"/>
    <w:basedOn w:val="646"/>
    <w:next w:val="646"/>
    <w:link w:val="662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649">
    <w:name w:val="Основной шрифт абзаца"/>
    <w:next w:val="649"/>
    <w:link w:val="646"/>
    <w:semiHidden/>
  </w:style>
  <w:style w:type="table" w:styleId="650">
    <w:name w:val="Обычная таблица"/>
    <w:next w:val="650"/>
    <w:link w:val="646"/>
    <w:semiHidden/>
    <w:tblPr/>
  </w:style>
  <w:style w:type="numbering" w:styleId="651">
    <w:name w:val="Нет списка"/>
    <w:next w:val="651"/>
    <w:link w:val="646"/>
    <w:semiHidden/>
  </w:style>
  <w:style w:type="table" w:styleId="652">
    <w:name w:val="Сетка таблицы"/>
    <w:basedOn w:val="650"/>
    <w:next w:val="652"/>
    <w:link w:val="646"/>
    <w:tblPr/>
  </w:style>
  <w:style w:type="paragraph" w:styleId="653">
    <w:name w:val="Знак Знак1 Знак Знак Знак Знак"/>
    <w:basedOn w:val="646"/>
    <w:next w:val="653"/>
    <w:link w:val="64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654">
    <w:name w:val="ConsPlusNonformat"/>
    <w:next w:val="654"/>
    <w:link w:val="646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55">
    <w:name w:val="ConsPlusNormal"/>
    <w:next w:val="655"/>
    <w:link w:val="646"/>
    <w:pPr>
      <w:widowControl w:val="off"/>
    </w:pPr>
    <w:rPr>
      <w:sz w:val="24"/>
      <w:szCs w:val="24"/>
      <w:lang w:val="ru-RU" w:eastAsia="ru-RU" w:bidi="ar-SA"/>
    </w:rPr>
  </w:style>
  <w:style w:type="paragraph" w:styleId="656">
    <w:name w:val="14-15"/>
    <w:basedOn w:val="646"/>
    <w:next w:val="656"/>
    <w:link w:val="646"/>
    <w:uiPriority w:val="99"/>
    <w:pPr>
      <w:ind w:firstLine="709"/>
      <w:jc w:val="both"/>
      <w:spacing w:line="360" w:lineRule="auto"/>
    </w:pPr>
    <w:rPr>
      <w:sz w:val="28"/>
    </w:rPr>
  </w:style>
  <w:style w:type="character" w:styleId="657">
    <w:name w:val="Заголовок 2 Знак"/>
    <w:basedOn w:val="649"/>
    <w:next w:val="657"/>
    <w:link w:val="647"/>
    <w:rPr>
      <w:b/>
      <w:sz w:val="28"/>
      <w:szCs w:val="28"/>
    </w:rPr>
  </w:style>
  <w:style w:type="paragraph" w:styleId="658">
    <w:name w:val="Верхний колонтитул"/>
    <w:basedOn w:val="646"/>
    <w:next w:val="658"/>
    <w:link w:val="659"/>
    <w:uiPriority w:val="99"/>
    <w:pPr>
      <w:tabs>
        <w:tab w:val="center" w:pos="4677" w:leader="none"/>
        <w:tab w:val="right" w:pos="9355" w:leader="none"/>
      </w:tabs>
    </w:pPr>
  </w:style>
  <w:style w:type="character" w:styleId="659">
    <w:name w:val="Верхний колонтитул Знак"/>
    <w:basedOn w:val="649"/>
    <w:next w:val="659"/>
    <w:link w:val="658"/>
    <w:uiPriority w:val="99"/>
    <w:rPr>
      <w:sz w:val="24"/>
      <w:szCs w:val="24"/>
    </w:rPr>
  </w:style>
  <w:style w:type="paragraph" w:styleId="660">
    <w:name w:val="Нижний колонтитул"/>
    <w:basedOn w:val="646"/>
    <w:next w:val="660"/>
    <w:link w:val="661"/>
    <w:pPr>
      <w:tabs>
        <w:tab w:val="center" w:pos="4677" w:leader="none"/>
        <w:tab w:val="right" w:pos="9355" w:leader="none"/>
      </w:tabs>
    </w:pPr>
  </w:style>
  <w:style w:type="character" w:styleId="661">
    <w:name w:val="Нижний колонтитул Знак"/>
    <w:basedOn w:val="649"/>
    <w:next w:val="661"/>
    <w:link w:val="660"/>
    <w:rPr>
      <w:sz w:val="24"/>
      <w:szCs w:val="24"/>
    </w:rPr>
  </w:style>
  <w:style w:type="character" w:styleId="662">
    <w:name w:val="Заголовок 3 Знак"/>
    <w:basedOn w:val="649"/>
    <w:next w:val="662"/>
    <w:link w:val="648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663">
    <w:name w:val="Основной текст"/>
    <w:basedOn w:val="646"/>
    <w:next w:val="663"/>
    <w:link w:val="664"/>
    <w:pPr>
      <w:jc w:val="center"/>
    </w:pPr>
    <w:rPr>
      <w:rFonts w:ascii="Arial" w:hAnsi="Arial" w:cs="Arial"/>
    </w:rPr>
  </w:style>
  <w:style w:type="character" w:styleId="664">
    <w:name w:val="Основной текст Знак"/>
    <w:basedOn w:val="649"/>
    <w:next w:val="664"/>
    <w:link w:val="663"/>
    <w:rPr>
      <w:rFonts w:ascii="Arial" w:hAnsi="Arial" w:cs="Arial"/>
      <w:sz w:val="24"/>
      <w:szCs w:val="24"/>
    </w:rPr>
  </w:style>
  <w:style w:type="paragraph" w:styleId="665">
    <w:name w:val="Загл.14"/>
    <w:basedOn w:val="646"/>
    <w:next w:val="665"/>
    <w:link w:val="646"/>
    <w:pPr>
      <w:jc w:val="center"/>
    </w:pPr>
    <w:rPr>
      <w:b/>
      <w:sz w:val="28"/>
      <w:szCs w:val="20"/>
    </w:rPr>
  </w:style>
  <w:style w:type="paragraph" w:styleId="666">
    <w:name w:val="Название"/>
    <w:basedOn w:val="646"/>
    <w:next w:val="666"/>
    <w:link w:val="667"/>
    <w:qFormat/>
    <w:pPr>
      <w:jc w:val="center"/>
    </w:pPr>
    <w:rPr>
      <w:b/>
      <w:szCs w:val="20"/>
    </w:rPr>
  </w:style>
  <w:style w:type="character" w:styleId="667">
    <w:name w:val="Название Знак"/>
    <w:basedOn w:val="649"/>
    <w:next w:val="667"/>
    <w:link w:val="666"/>
    <w:rPr>
      <w:b/>
      <w:sz w:val="24"/>
    </w:rPr>
  </w:style>
  <w:style w:type="paragraph" w:styleId="668">
    <w:name w:val="Текст сноски"/>
    <w:basedOn w:val="646"/>
    <w:next w:val="668"/>
    <w:link w:val="669"/>
    <w:pPr>
      <w:jc w:val="both"/>
      <w:keepLines/>
      <w:spacing w:after="120"/>
    </w:pPr>
    <w:rPr>
      <w:rFonts w:eastAsia="Batang"/>
      <w:sz w:val="22"/>
      <w:szCs w:val="20"/>
      <w:lang w:val="en-US" w:eastAsia="en-US"/>
    </w:rPr>
  </w:style>
  <w:style w:type="character" w:styleId="669">
    <w:name w:val="Текст сноски Знак"/>
    <w:basedOn w:val="649"/>
    <w:next w:val="669"/>
    <w:link w:val="668"/>
    <w:rPr>
      <w:rFonts w:eastAsia="Batang"/>
      <w:sz w:val="22"/>
      <w:lang w:val="en-US" w:eastAsia="en-US"/>
    </w:rPr>
  </w:style>
  <w:style w:type="character" w:styleId="670">
    <w:name w:val="Знак сноски"/>
    <w:next w:val="670"/>
    <w:link w:val="646"/>
    <w:rPr>
      <w:sz w:val="20"/>
      <w:vertAlign w:val="superscript"/>
    </w:rPr>
  </w:style>
  <w:style w:type="character" w:styleId="1092" w:default="1">
    <w:name w:val="Default Paragraph Font"/>
    <w:uiPriority w:val="1"/>
    <w:semiHidden/>
    <w:unhideWhenUsed/>
  </w:style>
  <w:style w:type="numbering" w:styleId="1093" w:default="1">
    <w:name w:val="No List"/>
    <w:uiPriority w:val="99"/>
    <w:semiHidden/>
    <w:unhideWhenUsed/>
  </w:style>
  <w:style w:type="table" w:styleId="10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Воротынского муниципального района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Krainov</dc:creator>
  <cp:lastModifiedBy>t.a.gerasimova</cp:lastModifiedBy>
  <cp:revision>9</cp:revision>
  <dcterms:created xsi:type="dcterms:W3CDTF">2021-07-19T14:31:00Z</dcterms:created>
  <dcterms:modified xsi:type="dcterms:W3CDTF">2026-07-06T15:14:28Z</dcterms:modified>
  <cp:version>786432</cp:version>
</cp:coreProperties>
</file>